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740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135"/>
        <w:gridCol w:w="2273"/>
        <w:gridCol w:w="1133"/>
        <w:gridCol w:w="1136"/>
        <w:gridCol w:w="992"/>
        <w:gridCol w:w="1703"/>
        <w:gridCol w:w="1823"/>
        <w:gridCol w:w="967"/>
        <w:gridCol w:w="1179"/>
        <w:gridCol w:w="995"/>
        <w:gridCol w:w="1216"/>
      </w:tblGrid>
      <w:tr w:rsidR="00FC282E" w14:paraId="3C295E5C" w14:textId="77777777" w:rsidTr="00E12820">
        <w:trPr>
          <w:trHeight w:val="617"/>
        </w:trPr>
        <w:tc>
          <w:tcPr>
            <w:tcW w:w="2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09B33F7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Number of subjects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254EB0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Variant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E0D8595" w14:textId="2F6CF2D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Genomic coordinates</w:t>
            </w:r>
            <w:r>
              <w:rPr>
                <w:b/>
                <w:lang w:val="ru-RU"/>
              </w:rPr>
              <w:t xml:space="preserve"> (GRCh37)</w:t>
            </w:r>
          </w:p>
        </w:tc>
        <w:tc>
          <w:tcPr>
            <w:tcW w:w="36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CA86FB" w14:textId="77777777" w:rsidR="00FC282E" w:rsidRDefault="009443D4">
            <w:pPr>
              <w:pStyle w:val="MDPI42tablebody"/>
              <w:spacing w:line="240" w:lineRule="auto"/>
              <w:rPr>
                <w:b/>
                <w:lang w:val="ru-RU"/>
              </w:rPr>
            </w:pPr>
            <w:r>
              <w:rPr>
                <w:b/>
              </w:rPr>
              <w:t>Reference allele</w:t>
            </w:r>
          </w:p>
        </w:tc>
        <w:tc>
          <w:tcPr>
            <w:tcW w:w="36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FA953EE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Alternative allele</w:t>
            </w:r>
          </w:p>
        </w:tc>
        <w:tc>
          <w:tcPr>
            <w:tcW w:w="32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0597F9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Variant class</w:t>
            </w:r>
          </w:p>
        </w:tc>
        <w:tc>
          <w:tcPr>
            <w:tcW w:w="55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A3DC04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Consequence</w:t>
            </w:r>
          </w:p>
        </w:tc>
        <w:tc>
          <w:tcPr>
            <w:tcW w:w="59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3C2D8A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HGVSc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ABE7CB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HGVSp</w:t>
            </w:r>
          </w:p>
        </w:tc>
        <w:tc>
          <w:tcPr>
            <w:tcW w:w="38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E8165B" w14:textId="77777777" w:rsidR="00FC282E" w:rsidRDefault="009443D4">
            <w:pPr>
              <w:pStyle w:val="MDPI42tablebody"/>
              <w:spacing w:line="240" w:lineRule="auto"/>
              <w:rPr>
                <w:b/>
                <w:lang w:val="ru-RU"/>
              </w:rPr>
            </w:pPr>
            <w:r>
              <w:rPr>
                <w:b/>
              </w:rPr>
              <w:t>AF (gnomAD)</w:t>
            </w:r>
            <w:r>
              <w:rPr>
                <w:b/>
                <w:lang w:val="ru-RU"/>
              </w:rPr>
              <w:t>,</w:t>
            </w:r>
          </w:p>
          <w:p w14:paraId="06AEA96F" w14:textId="77777777" w:rsidR="00FC282E" w:rsidRDefault="009443D4">
            <w:pPr>
              <w:pStyle w:val="MDPI42tablebody"/>
              <w:spacing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%</w:t>
            </w:r>
          </w:p>
        </w:tc>
        <w:tc>
          <w:tcPr>
            <w:tcW w:w="3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5A6AAEA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ACMG/</w:t>
            </w:r>
          </w:p>
          <w:p w14:paraId="15F7B791" w14:textId="77777777" w:rsidR="00FC282E" w:rsidRDefault="009443D4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AMP2015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49E029" w14:textId="77777777" w:rsidR="00FC282E" w:rsidRDefault="009443D4">
            <w:pPr>
              <w:pStyle w:val="MDPI42tablebody"/>
              <w:spacing w:line="240" w:lineRule="auto"/>
              <w:rPr>
                <w:b/>
                <w:bCs/>
                <w:lang w:val="en-BZ"/>
              </w:rPr>
            </w:pPr>
            <w:r>
              <w:rPr>
                <w:b/>
              </w:rPr>
              <w:t>Clinical Significance</w:t>
            </w:r>
          </w:p>
        </w:tc>
      </w:tr>
      <w:tr w:rsidR="00FC282E" w14:paraId="3CF7BCD4" w14:textId="77777777" w:rsidTr="00E12820">
        <w:trPr>
          <w:trHeight w:val="1441"/>
        </w:trPr>
        <w:tc>
          <w:tcPr>
            <w:tcW w:w="275" w:type="pct"/>
            <w:tcBorders>
              <w:top w:val="single" w:sz="4" w:space="0" w:color="auto"/>
            </w:tcBorders>
            <w:vAlign w:val="center"/>
          </w:tcPr>
          <w:p w14:paraId="1A15C49E" w14:textId="77777777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  <w:lang w:val="en-US"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  <w:lang w:val="en-US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024A907" w14:textId="77777777" w:rsidR="00FC282E" w:rsidRDefault="00FC282E">
            <w:pPr>
              <w:pStyle w:val="11"/>
              <w:jc w:val="center"/>
              <w:rPr>
                <w:rFonts w:ascii="Palatino Linotype" w:hAnsi="Palatino Linotype"/>
                <w:iCs/>
                <w:color w:val="000000"/>
                <w:lang w:val="en-US"/>
              </w:rPr>
            </w:pPr>
          </w:p>
          <w:p w14:paraId="29756443" w14:textId="77777777" w:rsidR="00FC282E" w:rsidRDefault="009443D4">
            <w:pPr>
              <w:pStyle w:val="11"/>
              <w:jc w:val="center"/>
              <w:rPr>
                <w:rFonts w:ascii="Palatino Linotype" w:hAnsi="Palatino Linotype"/>
                <w:iCs/>
                <w:color w:val="000000"/>
              </w:rPr>
            </w:pPr>
            <w:r>
              <w:rPr>
                <w:rFonts w:ascii="Palatino Linotype" w:hAnsi="Palatino Linotype"/>
                <w:iCs/>
                <w:color w:val="000000"/>
                <w:lang w:val="en-US"/>
              </w:rPr>
              <w:t>rs121918393</w:t>
            </w:r>
          </w:p>
          <w:p w14:paraId="17941557" w14:textId="77777777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  <w:lang w:val="en-US"/>
              </w:rPr>
            </w:pPr>
            <w:r>
              <w:rPr>
                <w:rFonts w:ascii="Palatino Linotype" w:hAnsi="Palatino Linotype"/>
                <w:i/>
                <w:color w:val="000000"/>
                <w:lang w:val="en-US"/>
              </w:rPr>
              <w:t xml:space="preserve">APOE2 </w:t>
            </w:r>
            <w:r>
              <w:rPr>
                <w:rFonts w:ascii="Palatino Linotype" w:hAnsi="Palatino Linotype"/>
                <w:iCs/>
                <w:color w:val="000000"/>
                <w:lang w:val="en-US"/>
              </w:rPr>
              <w:t>Heidelberg</w:t>
            </w:r>
          </w:p>
        </w:tc>
        <w:tc>
          <w:tcPr>
            <w:tcW w:w="737" w:type="pct"/>
            <w:tcBorders>
              <w:top w:val="single" w:sz="4" w:space="0" w:color="auto"/>
            </w:tcBorders>
            <w:vAlign w:val="center"/>
          </w:tcPr>
          <w:p w14:paraId="27036A85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  <w:lang w:val="en-US"/>
              </w:rPr>
            </w:pPr>
          </w:p>
          <w:p w14:paraId="491A47D5" w14:textId="77777777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  <w:lang w:val="en-US"/>
              </w:rPr>
              <w:t>chr19</w:t>
            </w:r>
            <w:r>
              <w:rPr>
                <w:rFonts w:ascii="Palatino Linotype" w:eastAsia="Times New Roman" w:hAnsi="Palatino Linotype" w:cs="Times New Roman"/>
                <w:iCs/>
                <w:color w:val="000000"/>
              </w:rPr>
              <w:t>:</w:t>
            </w:r>
            <w:r>
              <w:rPr>
                <w:rFonts w:ascii="Palatino Linotype" w:eastAsia="Times New Roman" w:hAnsi="Palatino Linotype"/>
                <w:iCs/>
                <w:color w:val="000000"/>
              </w:rPr>
              <w:t>45412013</w:t>
            </w:r>
          </w:p>
          <w:p w14:paraId="65897BAB" w14:textId="00D5FCCF" w:rsidR="00FC282E" w:rsidRDefault="00FC282E" w:rsidP="009C08FF">
            <w:pPr>
              <w:pStyle w:val="MDPI42tablebody"/>
              <w:spacing w:line="240" w:lineRule="auto"/>
              <w:jc w:val="both"/>
              <w:rPr>
                <w:iCs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5A3818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C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E26DCEB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T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3F5E1F0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SNV</w:t>
            </w:r>
          </w:p>
        </w:tc>
        <w:tc>
          <w:tcPr>
            <w:tcW w:w="552" w:type="pct"/>
            <w:tcBorders>
              <w:top w:val="single" w:sz="4" w:space="0" w:color="auto"/>
            </w:tcBorders>
            <w:vAlign w:val="center"/>
          </w:tcPr>
          <w:p w14:paraId="2AE9815E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missense_variant</w:t>
            </w:r>
          </w:p>
        </w:tc>
        <w:tc>
          <w:tcPr>
            <w:tcW w:w="591" w:type="pct"/>
            <w:tcBorders>
              <w:top w:val="single" w:sz="4" w:space="0" w:color="auto"/>
            </w:tcBorders>
            <w:vAlign w:val="center"/>
          </w:tcPr>
          <w:p w14:paraId="5B14AA12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NM_000041.</w:t>
            </w:r>
            <w:r>
              <w:rPr>
                <w:iCs/>
                <w:lang w:val="ru-RU"/>
              </w:rPr>
              <w:t>4:</w:t>
            </w:r>
            <w:r>
              <w:rPr>
                <w:iCs/>
              </w:rPr>
              <w:t>c.460C&gt;T</w:t>
            </w:r>
          </w:p>
        </w:tc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42CD53D9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NP_000032.1</w:t>
            </w:r>
            <w:r>
              <w:rPr>
                <w:iCs/>
                <w:lang w:val="ru-RU"/>
              </w:rPr>
              <w:t>:</w:t>
            </w:r>
            <w:r>
              <w:rPr>
                <w:iCs/>
              </w:rPr>
              <w:t xml:space="preserve"> p.Arg154Cys</w:t>
            </w:r>
          </w:p>
        </w:tc>
        <w:tc>
          <w:tcPr>
            <w:tcW w:w="382" w:type="pct"/>
            <w:tcBorders>
              <w:top w:val="single" w:sz="4" w:space="0" w:color="auto"/>
            </w:tcBorders>
            <w:vAlign w:val="center"/>
          </w:tcPr>
          <w:p w14:paraId="5A168778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0.008979</w:t>
            </w:r>
          </w:p>
        </w:tc>
        <w:tc>
          <w:tcPr>
            <w:tcW w:w="323" w:type="pct"/>
            <w:tcBorders>
              <w:top w:val="single" w:sz="4" w:space="0" w:color="auto"/>
            </w:tcBorders>
            <w:vAlign w:val="center"/>
          </w:tcPr>
          <w:p w14:paraId="2D57E60E" w14:textId="77777777" w:rsidR="00FC282E" w:rsidRDefault="009443D4">
            <w:pPr>
              <w:pStyle w:val="11"/>
              <w:jc w:val="center"/>
              <w:rPr>
                <w:rFonts w:ascii="Palatino Linotype" w:hAnsi="Palatino Linotype"/>
                <w:iCs/>
                <w:color w:val="000000"/>
                <w:lang w:val="en-US"/>
              </w:rPr>
            </w:pPr>
            <w:r>
              <w:rPr>
                <w:rFonts w:ascii="Palatino Linotype" w:hAnsi="Palatino Linotype"/>
                <w:iCs/>
                <w:color w:val="000000"/>
                <w:lang w:val="en-US"/>
              </w:rPr>
              <w:t>PM1 [1], PM2, PP1_Moderate [1], PP3 (REVEL = 0.898), PP4, PP5</w:t>
            </w:r>
          </w:p>
        </w:tc>
        <w:tc>
          <w:tcPr>
            <w:tcW w:w="394" w:type="pct"/>
            <w:tcBorders>
              <w:top w:val="single" w:sz="4" w:space="0" w:color="auto"/>
            </w:tcBorders>
            <w:vAlign w:val="center"/>
          </w:tcPr>
          <w:p w14:paraId="20216A4D" w14:textId="77777777" w:rsidR="00FC282E" w:rsidRDefault="009443D4">
            <w:pPr>
              <w:pStyle w:val="11"/>
              <w:jc w:val="center"/>
              <w:rPr>
                <w:rFonts w:ascii="Palatino Linotype" w:hAnsi="Palatino Linotype"/>
                <w:iCs/>
                <w:color w:val="000000"/>
                <w:lang w:val="en-US"/>
              </w:rPr>
            </w:pPr>
            <w:bookmarkStart w:id="0" w:name="_Hlk134570466"/>
            <w:r>
              <w:rPr>
                <w:rFonts w:ascii="Palatino Linotype" w:hAnsi="Palatino Linotype"/>
                <w:iCs/>
                <w:color w:val="000000"/>
                <w:lang w:val="en-US"/>
              </w:rPr>
              <w:t>likely pathogenic</w:t>
            </w:r>
            <w:bookmarkEnd w:id="0"/>
          </w:p>
        </w:tc>
      </w:tr>
      <w:tr w:rsidR="00FC282E" w14:paraId="30BCA7DD" w14:textId="77777777" w:rsidTr="00E12820">
        <w:trPr>
          <w:trHeight w:val="617"/>
        </w:trPr>
        <w:tc>
          <w:tcPr>
            <w:tcW w:w="275" w:type="pct"/>
            <w:vAlign w:val="center"/>
          </w:tcPr>
          <w:p w14:paraId="0713D4FB" w14:textId="77777777" w:rsidR="00FC282E" w:rsidRDefault="009443D4">
            <w:pPr>
              <w:spacing w:line="240" w:lineRule="atLeast"/>
              <w:jc w:val="center"/>
              <w:rPr>
                <w:rFonts w:ascii="Palatino Linotype" w:hAnsi="Palatino Linotype"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Cs/>
                <w:sz w:val="20"/>
                <w:szCs w:val="20"/>
              </w:rPr>
              <w:t>4</w:t>
            </w:r>
          </w:p>
        </w:tc>
        <w:tc>
          <w:tcPr>
            <w:tcW w:w="368" w:type="pct"/>
            <w:vAlign w:val="center"/>
          </w:tcPr>
          <w:p w14:paraId="1EDE4AFF" w14:textId="77777777" w:rsidR="00FC282E" w:rsidRDefault="00FC282E">
            <w:pPr>
              <w:pStyle w:val="MDPI42tablebody"/>
              <w:rPr>
                <w:iCs/>
              </w:rPr>
            </w:pPr>
          </w:p>
          <w:p w14:paraId="50EFD9C0" w14:textId="77777777" w:rsidR="00FC282E" w:rsidRDefault="00FC282E">
            <w:pPr>
              <w:pStyle w:val="MDPI42tablebody"/>
              <w:rPr>
                <w:iCs/>
              </w:rPr>
            </w:pPr>
          </w:p>
          <w:p w14:paraId="1C816EAC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rs267606664</w:t>
            </w:r>
          </w:p>
          <w:p w14:paraId="2C7F80BF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</w:p>
        </w:tc>
        <w:tc>
          <w:tcPr>
            <w:tcW w:w="737" w:type="pct"/>
            <w:vAlign w:val="center"/>
          </w:tcPr>
          <w:p w14:paraId="327AE512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</w:p>
          <w:p w14:paraId="10E72331" w14:textId="5E27C809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</w:rPr>
              <w:t>chr19:</w:t>
            </w:r>
            <w:r>
              <w:rPr>
                <w:rFonts w:ascii="Palatino Linotype" w:eastAsia="Times New Roman" w:hAnsi="Palatino Linotype"/>
                <w:iCs/>
                <w:color w:val="000000"/>
              </w:rPr>
              <w:t>45411987</w:t>
            </w:r>
          </w:p>
          <w:p w14:paraId="50EEFF40" w14:textId="77777777" w:rsidR="00FC282E" w:rsidRDefault="00FC282E">
            <w:pPr>
              <w:pStyle w:val="MDPI42tablebody"/>
              <w:spacing w:line="240" w:lineRule="auto"/>
              <w:rPr>
                <w:iCs/>
              </w:rPr>
            </w:pPr>
          </w:p>
        </w:tc>
        <w:tc>
          <w:tcPr>
            <w:tcW w:w="367" w:type="pct"/>
            <w:vAlign w:val="center"/>
          </w:tcPr>
          <w:p w14:paraId="7BC32120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G</w:t>
            </w:r>
          </w:p>
        </w:tc>
        <w:tc>
          <w:tcPr>
            <w:tcW w:w="368" w:type="pct"/>
            <w:vAlign w:val="center"/>
          </w:tcPr>
          <w:p w14:paraId="07DAB187" w14:textId="39FEAE00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A</w:t>
            </w:r>
          </w:p>
        </w:tc>
        <w:tc>
          <w:tcPr>
            <w:tcW w:w="322" w:type="pct"/>
            <w:vAlign w:val="center"/>
          </w:tcPr>
          <w:p w14:paraId="6BD946E8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SNV</w:t>
            </w:r>
          </w:p>
        </w:tc>
        <w:tc>
          <w:tcPr>
            <w:tcW w:w="552" w:type="pct"/>
            <w:vAlign w:val="center"/>
          </w:tcPr>
          <w:p w14:paraId="09821B56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missense_variant</w:t>
            </w:r>
          </w:p>
        </w:tc>
        <w:tc>
          <w:tcPr>
            <w:tcW w:w="591" w:type="pct"/>
            <w:vAlign w:val="center"/>
          </w:tcPr>
          <w:p w14:paraId="5F5F58D4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NM_000041.</w:t>
            </w:r>
            <w:r>
              <w:rPr>
                <w:iCs/>
                <w:lang w:val="ru-RU"/>
              </w:rPr>
              <w:t>4:</w:t>
            </w:r>
            <w:r>
              <w:rPr>
                <w:iCs/>
              </w:rPr>
              <w:t>c.434G&gt;A</w:t>
            </w:r>
          </w:p>
          <w:p w14:paraId="67DFABC2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14" w:type="pct"/>
            <w:vAlign w:val="center"/>
          </w:tcPr>
          <w:p w14:paraId="0ACD1D27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NP_000032.1</w:t>
            </w:r>
            <w:r>
              <w:rPr>
                <w:iCs/>
                <w:lang w:val="ru-RU"/>
              </w:rPr>
              <w:t>:</w:t>
            </w:r>
            <w:r>
              <w:rPr>
                <w:iCs/>
              </w:rPr>
              <w:t xml:space="preserve">  p.Gly145Asp</w:t>
            </w:r>
          </w:p>
          <w:p w14:paraId="79E41551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82" w:type="pct"/>
            <w:vAlign w:val="center"/>
          </w:tcPr>
          <w:p w14:paraId="3E12AE73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0.01532</w:t>
            </w:r>
          </w:p>
        </w:tc>
        <w:tc>
          <w:tcPr>
            <w:tcW w:w="323" w:type="pct"/>
            <w:vAlign w:val="center"/>
          </w:tcPr>
          <w:p w14:paraId="6DBB4C83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BS1, PP4, PP1</w:t>
            </w:r>
          </w:p>
          <w:p w14:paraId="45733C85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lang w:eastAsia="ru-RU"/>
              </w:rPr>
              <w:t>REVEL = 0.581</w:t>
            </w:r>
          </w:p>
        </w:tc>
        <w:tc>
          <w:tcPr>
            <w:tcW w:w="394" w:type="pct"/>
            <w:vAlign w:val="center"/>
          </w:tcPr>
          <w:p w14:paraId="70E588C3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bookmarkStart w:id="1" w:name="_Hlk134570516"/>
            <w:r>
              <w:rPr>
                <w:iCs/>
              </w:rPr>
              <w:t>variant of uncertain significance</w:t>
            </w:r>
            <w:bookmarkEnd w:id="1"/>
          </w:p>
        </w:tc>
      </w:tr>
      <w:tr w:rsidR="00FC282E" w14:paraId="08D96677" w14:textId="77777777" w:rsidTr="00E12820">
        <w:trPr>
          <w:trHeight w:val="1566"/>
        </w:trPr>
        <w:tc>
          <w:tcPr>
            <w:tcW w:w="275" w:type="pct"/>
            <w:vAlign w:val="center"/>
          </w:tcPr>
          <w:p w14:paraId="5080890C" w14:textId="77777777" w:rsidR="00FC282E" w:rsidRDefault="009443D4">
            <w:pPr>
              <w:spacing w:line="240" w:lineRule="atLeast"/>
              <w:jc w:val="center"/>
              <w:rPr>
                <w:rFonts w:ascii="Palatino Linotype" w:hAnsi="Palatino Linotype"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Cs/>
                <w:sz w:val="20"/>
                <w:szCs w:val="20"/>
              </w:rPr>
              <w:t>6</w:t>
            </w:r>
          </w:p>
        </w:tc>
        <w:tc>
          <w:tcPr>
            <w:tcW w:w="368" w:type="pct"/>
            <w:vAlign w:val="center"/>
          </w:tcPr>
          <w:p w14:paraId="6E16814D" w14:textId="77777777" w:rsidR="00FC282E" w:rsidRDefault="00FC282E">
            <w:pPr>
              <w:pStyle w:val="MDPI42tablebody"/>
              <w:jc w:val="left"/>
              <w:rPr>
                <w:iCs/>
              </w:rPr>
            </w:pPr>
          </w:p>
          <w:p w14:paraId="706B4F0C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rs199768005</w:t>
            </w:r>
          </w:p>
          <w:p w14:paraId="5FC464BC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</w:p>
        </w:tc>
        <w:tc>
          <w:tcPr>
            <w:tcW w:w="737" w:type="pct"/>
            <w:vAlign w:val="center"/>
          </w:tcPr>
          <w:p w14:paraId="5F44CFF3" w14:textId="0A6FD3D1" w:rsidR="00FC282E" w:rsidRDefault="009443D4" w:rsidP="009C08FF">
            <w:pPr>
              <w:pStyle w:val="11"/>
              <w:jc w:val="center"/>
              <w:rPr>
                <w:iCs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</w:rPr>
              <w:t>chr19:</w:t>
            </w:r>
            <w:r>
              <w:rPr>
                <w:rFonts w:ascii="Palatino Linotype" w:eastAsia="Times New Roman" w:hAnsi="Palatino Linotype"/>
                <w:iCs/>
                <w:color w:val="000000"/>
              </w:rPr>
              <w:t>45412314</w:t>
            </w:r>
          </w:p>
        </w:tc>
        <w:tc>
          <w:tcPr>
            <w:tcW w:w="367" w:type="pct"/>
            <w:vAlign w:val="center"/>
          </w:tcPr>
          <w:p w14:paraId="6DEA7AB6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T</w:t>
            </w:r>
          </w:p>
        </w:tc>
        <w:tc>
          <w:tcPr>
            <w:tcW w:w="368" w:type="pct"/>
            <w:vAlign w:val="center"/>
          </w:tcPr>
          <w:p w14:paraId="5772855D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A</w:t>
            </w:r>
          </w:p>
        </w:tc>
        <w:tc>
          <w:tcPr>
            <w:tcW w:w="322" w:type="pct"/>
            <w:vAlign w:val="center"/>
          </w:tcPr>
          <w:p w14:paraId="5F731454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SNV</w:t>
            </w:r>
          </w:p>
        </w:tc>
        <w:tc>
          <w:tcPr>
            <w:tcW w:w="552" w:type="pct"/>
            <w:vAlign w:val="center"/>
          </w:tcPr>
          <w:p w14:paraId="5CDFC8A9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missense_variant</w:t>
            </w:r>
          </w:p>
        </w:tc>
        <w:tc>
          <w:tcPr>
            <w:tcW w:w="591" w:type="pct"/>
            <w:vAlign w:val="center"/>
          </w:tcPr>
          <w:p w14:paraId="1021D5B0" w14:textId="77777777" w:rsidR="00FC282E" w:rsidRDefault="00FC282E">
            <w:pPr>
              <w:pStyle w:val="MDPI42tablebody"/>
              <w:rPr>
                <w:iCs/>
              </w:rPr>
            </w:pPr>
          </w:p>
          <w:p w14:paraId="7D0F6FB0" w14:textId="77777777" w:rsidR="00FC282E" w:rsidRDefault="00FC282E">
            <w:pPr>
              <w:pStyle w:val="MDPI42tablebody"/>
              <w:jc w:val="left"/>
              <w:rPr>
                <w:iCs/>
              </w:rPr>
            </w:pPr>
          </w:p>
          <w:p w14:paraId="543CC054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NM_000041.</w:t>
            </w:r>
            <w:r>
              <w:rPr>
                <w:iCs/>
                <w:lang w:val="ru-RU"/>
              </w:rPr>
              <w:t>4:</w:t>
            </w:r>
            <w:r>
              <w:rPr>
                <w:iCs/>
              </w:rPr>
              <w:t>c.761</w:t>
            </w:r>
          </w:p>
          <w:p w14:paraId="39AB2710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T&gt;A</w:t>
            </w:r>
          </w:p>
          <w:p w14:paraId="760674C4" w14:textId="77777777" w:rsidR="00FC282E" w:rsidRDefault="00FC282E">
            <w:pPr>
              <w:pStyle w:val="MDPI42tablebody"/>
              <w:rPr>
                <w:iCs/>
                <w:lang w:val="ru-RU"/>
              </w:rPr>
            </w:pPr>
          </w:p>
          <w:p w14:paraId="70BA68E1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14" w:type="pct"/>
            <w:vAlign w:val="center"/>
          </w:tcPr>
          <w:p w14:paraId="3A566C4F" w14:textId="77777777" w:rsidR="00FC282E" w:rsidRDefault="00FC282E">
            <w:pPr>
              <w:pStyle w:val="MDPI42tablebody"/>
              <w:jc w:val="left"/>
              <w:rPr>
                <w:iCs/>
              </w:rPr>
            </w:pPr>
          </w:p>
          <w:p w14:paraId="2085F42F" w14:textId="77777777" w:rsidR="00FC282E" w:rsidRDefault="00FC282E">
            <w:pPr>
              <w:pStyle w:val="MDPI42tablebody"/>
              <w:jc w:val="left"/>
              <w:rPr>
                <w:iCs/>
              </w:rPr>
            </w:pPr>
          </w:p>
          <w:p w14:paraId="4DF56E9D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NP_000032.1</w:t>
            </w:r>
            <w:r>
              <w:rPr>
                <w:iCs/>
                <w:lang w:val="ru-RU"/>
              </w:rPr>
              <w:t>:</w:t>
            </w:r>
            <w:r>
              <w:rPr>
                <w:iCs/>
              </w:rPr>
              <w:t xml:space="preserve">  p.Val254Glu</w:t>
            </w:r>
          </w:p>
          <w:p w14:paraId="5BA15812" w14:textId="77777777" w:rsidR="00FC282E" w:rsidRDefault="00FC282E">
            <w:pPr>
              <w:pStyle w:val="MDPI42tablebody"/>
              <w:rPr>
                <w:iCs/>
                <w:lang w:val="ru-RU"/>
              </w:rPr>
            </w:pPr>
          </w:p>
          <w:p w14:paraId="57BC9EFA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82" w:type="pct"/>
            <w:vAlign w:val="center"/>
          </w:tcPr>
          <w:p w14:paraId="7A2BC0FF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0</w:t>
            </w:r>
            <w:r>
              <w:rPr>
                <w:iCs/>
                <w:lang w:val="ru-RU"/>
              </w:rPr>
              <w:t>.</w:t>
            </w:r>
            <w:r>
              <w:rPr>
                <w:iCs/>
              </w:rPr>
              <w:t>04515</w:t>
            </w:r>
          </w:p>
        </w:tc>
        <w:tc>
          <w:tcPr>
            <w:tcW w:w="323" w:type="pct"/>
            <w:vAlign w:val="center"/>
          </w:tcPr>
          <w:p w14:paraId="7B97F137" w14:textId="77777777" w:rsidR="00FC282E" w:rsidRDefault="009443D4">
            <w:pPr>
              <w:pStyle w:val="MDPI42tablebody"/>
              <w:spacing w:line="240" w:lineRule="auto"/>
              <w:rPr>
                <w:iCs/>
                <w:lang w:val="ru-RU"/>
              </w:rPr>
            </w:pPr>
            <w:r>
              <w:rPr>
                <w:iCs/>
              </w:rPr>
              <w:t>BS1, PP4</w:t>
            </w:r>
            <w:r>
              <w:rPr>
                <w:iCs/>
                <w:vertAlign w:val="superscript"/>
                <w:lang w:val="ru-RU"/>
              </w:rPr>
              <w:t>1</w:t>
            </w:r>
            <w:r>
              <w:rPr>
                <w:iCs/>
                <w:lang w:val="ru-RU"/>
              </w:rPr>
              <w:t>,</w:t>
            </w:r>
          </w:p>
          <w:p w14:paraId="0F0DD17B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lang w:eastAsia="ru-RU"/>
              </w:rPr>
              <w:t>REVEL score = 0.260</w:t>
            </w:r>
          </w:p>
        </w:tc>
        <w:tc>
          <w:tcPr>
            <w:tcW w:w="394" w:type="pct"/>
            <w:vAlign w:val="center"/>
          </w:tcPr>
          <w:p w14:paraId="202A10F6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variant of uncertain significance</w:t>
            </w:r>
          </w:p>
        </w:tc>
      </w:tr>
      <w:tr w:rsidR="00FC282E" w14:paraId="73E7C76F" w14:textId="77777777" w:rsidTr="00E12820">
        <w:trPr>
          <w:trHeight w:val="617"/>
        </w:trPr>
        <w:tc>
          <w:tcPr>
            <w:tcW w:w="275" w:type="pct"/>
            <w:vAlign w:val="center"/>
          </w:tcPr>
          <w:p w14:paraId="173CA672" w14:textId="77777777" w:rsidR="00FC282E" w:rsidRDefault="009443D4">
            <w:pPr>
              <w:spacing w:line="240" w:lineRule="atLeast"/>
              <w:jc w:val="center"/>
              <w:rPr>
                <w:rFonts w:ascii="Palatino Linotype" w:hAnsi="Palatino Linotype"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Cs/>
                <w:sz w:val="20"/>
                <w:szCs w:val="20"/>
              </w:rPr>
              <w:t>1</w:t>
            </w:r>
          </w:p>
        </w:tc>
        <w:tc>
          <w:tcPr>
            <w:tcW w:w="368" w:type="pct"/>
            <w:vAlign w:val="center"/>
          </w:tcPr>
          <w:p w14:paraId="0CCA1445" w14:textId="77777777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  <w:r>
              <w:rPr>
                <w:rFonts w:ascii="Palatino Linotype" w:hAnsi="Palatino Linotype"/>
                <w:iCs/>
              </w:rPr>
              <w:t>rs267606661</w:t>
            </w:r>
          </w:p>
        </w:tc>
        <w:tc>
          <w:tcPr>
            <w:tcW w:w="737" w:type="pct"/>
            <w:vAlign w:val="center"/>
          </w:tcPr>
          <w:p w14:paraId="3F785F07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</w:p>
          <w:p w14:paraId="270948ED" w14:textId="2CD4A493" w:rsidR="00FC282E" w:rsidRDefault="009443D4" w:rsidP="009C08FF">
            <w:pPr>
              <w:pStyle w:val="11"/>
              <w:jc w:val="center"/>
              <w:rPr>
                <w:iCs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</w:rPr>
              <w:t>chr19:</w:t>
            </w:r>
            <w:r>
              <w:rPr>
                <w:rFonts w:ascii="Palatino Linotype" w:eastAsia="Times New Roman" w:hAnsi="Palatino Linotype"/>
                <w:iCs/>
                <w:color w:val="000000"/>
              </w:rPr>
              <w:t>45412358</w:t>
            </w:r>
          </w:p>
        </w:tc>
        <w:tc>
          <w:tcPr>
            <w:tcW w:w="367" w:type="pct"/>
            <w:vAlign w:val="center"/>
          </w:tcPr>
          <w:p w14:paraId="2A3F705C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C</w:t>
            </w:r>
          </w:p>
        </w:tc>
        <w:tc>
          <w:tcPr>
            <w:tcW w:w="368" w:type="pct"/>
            <w:vAlign w:val="center"/>
          </w:tcPr>
          <w:p w14:paraId="5EC63F1B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G</w:t>
            </w:r>
          </w:p>
        </w:tc>
        <w:tc>
          <w:tcPr>
            <w:tcW w:w="322" w:type="pct"/>
            <w:vAlign w:val="center"/>
          </w:tcPr>
          <w:p w14:paraId="766FC5CC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SNV</w:t>
            </w:r>
          </w:p>
        </w:tc>
        <w:tc>
          <w:tcPr>
            <w:tcW w:w="552" w:type="pct"/>
            <w:vAlign w:val="center"/>
          </w:tcPr>
          <w:p w14:paraId="39041EE4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missense_variant</w:t>
            </w:r>
          </w:p>
        </w:tc>
        <w:tc>
          <w:tcPr>
            <w:tcW w:w="591" w:type="pct"/>
            <w:vAlign w:val="center"/>
          </w:tcPr>
          <w:p w14:paraId="6E21ED5D" w14:textId="77777777" w:rsidR="00FC282E" w:rsidRDefault="00FC282E">
            <w:pPr>
              <w:pStyle w:val="MDPI42tablebody"/>
              <w:rPr>
                <w:iCs/>
              </w:rPr>
            </w:pPr>
          </w:p>
          <w:p w14:paraId="269BEF24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NM_000041.</w:t>
            </w:r>
            <w:r>
              <w:rPr>
                <w:iCs/>
                <w:lang w:val="ru-RU"/>
              </w:rPr>
              <w:t>4:</w:t>
            </w:r>
            <w:r>
              <w:rPr>
                <w:iCs/>
              </w:rPr>
              <w:t>c.805C&gt;G</w:t>
            </w:r>
          </w:p>
          <w:p w14:paraId="4731F059" w14:textId="77777777" w:rsidR="00FC282E" w:rsidRDefault="00FC282E">
            <w:pPr>
              <w:pStyle w:val="MDPI42tablebody"/>
              <w:rPr>
                <w:iCs/>
                <w:lang w:val="ru-RU"/>
              </w:rPr>
            </w:pPr>
          </w:p>
          <w:p w14:paraId="61DE6FFB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14" w:type="pct"/>
            <w:vAlign w:val="center"/>
          </w:tcPr>
          <w:p w14:paraId="2D7ACE5F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NP_000032.1</w:t>
            </w:r>
            <w:r>
              <w:rPr>
                <w:iCs/>
                <w:lang w:val="ru-RU"/>
              </w:rPr>
              <w:t>:</w:t>
            </w:r>
            <w:r>
              <w:rPr>
                <w:iCs/>
              </w:rPr>
              <w:t xml:space="preserve">  p.Arg269Gly</w:t>
            </w:r>
          </w:p>
          <w:p w14:paraId="5B4BD259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82" w:type="pct"/>
            <w:vAlign w:val="center"/>
          </w:tcPr>
          <w:p w14:paraId="06D1973F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0</w:t>
            </w:r>
            <w:r>
              <w:rPr>
                <w:iCs/>
                <w:lang w:val="ru-RU"/>
              </w:rPr>
              <w:t>.</w:t>
            </w:r>
            <w:r>
              <w:rPr>
                <w:iCs/>
              </w:rPr>
              <w:t>03605</w:t>
            </w:r>
          </w:p>
        </w:tc>
        <w:tc>
          <w:tcPr>
            <w:tcW w:w="323" w:type="pct"/>
            <w:vAlign w:val="center"/>
          </w:tcPr>
          <w:p w14:paraId="31A4097B" w14:textId="77777777" w:rsidR="00FC282E" w:rsidRDefault="00FC282E">
            <w:pPr>
              <w:pStyle w:val="MDPI42tablebody"/>
              <w:spacing w:line="240" w:lineRule="auto"/>
              <w:rPr>
                <w:iCs/>
              </w:rPr>
            </w:pPr>
          </w:p>
          <w:p w14:paraId="7D0C72FF" w14:textId="77777777" w:rsidR="00FC282E" w:rsidRDefault="009443D4">
            <w:pPr>
              <w:pStyle w:val="MDPI42tablebody"/>
              <w:spacing w:line="240" w:lineRule="auto"/>
              <w:rPr>
                <w:iCs/>
                <w:lang w:val="ru-RU"/>
              </w:rPr>
            </w:pPr>
            <w:r>
              <w:rPr>
                <w:iCs/>
              </w:rPr>
              <w:t xml:space="preserve">BS1, PP4 [2], </w:t>
            </w:r>
            <w:r>
              <w:rPr>
                <w:lang w:eastAsia="ru-RU"/>
              </w:rPr>
              <w:t>REVEL = 0</w:t>
            </w:r>
            <w:r>
              <w:rPr>
                <w:lang w:val="ru-RU" w:eastAsia="ru-RU"/>
              </w:rPr>
              <w:t>.581</w:t>
            </w:r>
          </w:p>
        </w:tc>
        <w:tc>
          <w:tcPr>
            <w:tcW w:w="394" w:type="pct"/>
            <w:vAlign w:val="center"/>
          </w:tcPr>
          <w:p w14:paraId="61A48D22" w14:textId="77777777" w:rsidR="00FC282E" w:rsidRDefault="00FC282E">
            <w:pPr>
              <w:pStyle w:val="MDPI42tablebody"/>
              <w:spacing w:line="240" w:lineRule="auto"/>
              <w:rPr>
                <w:iCs/>
              </w:rPr>
            </w:pPr>
          </w:p>
          <w:p w14:paraId="00C72BCB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variant of uncertain significance</w:t>
            </w:r>
          </w:p>
        </w:tc>
      </w:tr>
      <w:tr w:rsidR="00FC282E" w14:paraId="1A51857A" w14:textId="77777777" w:rsidTr="00E12820">
        <w:trPr>
          <w:trHeight w:val="617"/>
        </w:trPr>
        <w:tc>
          <w:tcPr>
            <w:tcW w:w="275" w:type="pct"/>
            <w:vAlign w:val="center"/>
          </w:tcPr>
          <w:p w14:paraId="1DDAF27A" w14:textId="77777777" w:rsidR="00FC282E" w:rsidRDefault="009443D4">
            <w:pPr>
              <w:spacing w:line="240" w:lineRule="atLeast"/>
              <w:ind w:hanging="2"/>
              <w:jc w:val="center"/>
              <w:rPr>
                <w:rFonts w:ascii="Palatino Linotype" w:hAnsi="Palatino Linotype"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Cs/>
                <w:sz w:val="20"/>
                <w:szCs w:val="20"/>
              </w:rPr>
              <w:t>1</w:t>
            </w:r>
          </w:p>
        </w:tc>
        <w:tc>
          <w:tcPr>
            <w:tcW w:w="368" w:type="pct"/>
            <w:vAlign w:val="center"/>
          </w:tcPr>
          <w:p w14:paraId="7394E8CA" w14:textId="4C3D3BF8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  <w:r>
              <w:rPr>
                <w:rFonts w:ascii="Palatino Linotype" w:hAnsi="Palatino Linotype"/>
                <w:iCs/>
              </w:rPr>
              <w:t>rs1969839083</w:t>
            </w:r>
          </w:p>
        </w:tc>
        <w:tc>
          <w:tcPr>
            <w:tcW w:w="737" w:type="pct"/>
            <w:vAlign w:val="center"/>
          </w:tcPr>
          <w:p w14:paraId="32B38F9C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</w:p>
          <w:p w14:paraId="0A8778CA" w14:textId="454B843B" w:rsidR="00FC282E" w:rsidRDefault="009443D4" w:rsidP="009C08FF">
            <w:pPr>
              <w:pStyle w:val="11"/>
              <w:jc w:val="center"/>
              <w:rPr>
                <w:iCs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</w:rPr>
              <w:t>chr19:</w:t>
            </w:r>
            <w:r>
              <w:rPr>
                <w:rFonts w:ascii="Palatino Linotype" w:eastAsia="Times New Roman" w:hAnsi="Palatino Linotype"/>
                <w:iCs/>
                <w:color w:val="000000"/>
              </w:rPr>
              <w:t>45411157-45411160</w:t>
            </w:r>
          </w:p>
        </w:tc>
        <w:tc>
          <w:tcPr>
            <w:tcW w:w="367" w:type="pct"/>
            <w:vAlign w:val="center"/>
          </w:tcPr>
          <w:p w14:paraId="0A319788" w14:textId="207605B4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CTGT</w:t>
            </w:r>
          </w:p>
        </w:tc>
        <w:tc>
          <w:tcPr>
            <w:tcW w:w="368" w:type="pct"/>
            <w:vAlign w:val="center"/>
          </w:tcPr>
          <w:p w14:paraId="1D2CD1F2" w14:textId="5349E8CE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  <w:lang w:val="ru-RU"/>
              </w:rPr>
              <w:t>-</w:t>
            </w:r>
          </w:p>
        </w:tc>
        <w:tc>
          <w:tcPr>
            <w:tcW w:w="322" w:type="pct"/>
            <w:vAlign w:val="center"/>
          </w:tcPr>
          <w:p w14:paraId="5B7EF625" w14:textId="77777777" w:rsidR="00FC282E" w:rsidRDefault="009443D4">
            <w:pPr>
              <w:pStyle w:val="MDPI42tablebody"/>
              <w:spacing w:line="240" w:lineRule="auto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deletion</w:t>
            </w:r>
          </w:p>
        </w:tc>
        <w:tc>
          <w:tcPr>
            <w:tcW w:w="552" w:type="pct"/>
            <w:vAlign w:val="center"/>
          </w:tcPr>
          <w:p w14:paraId="30B5E35A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frameshift_variant</w:t>
            </w:r>
          </w:p>
        </w:tc>
        <w:tc>
          <w:tcPr>
            <w:tcW w:w="591" w:type="pct"/>
            <w:vAlign w:val="center"/>
          </w:tcPr>
          <w:p w14:paraId="4CDFBB7A" w14:textId="77777777" w:rsidR="00FC282E" w:rsidRDefault="009443D4">
            <w:pPr>
              <w:pStyle w:val="MDPI42tablebody"/>
              <w:rPr>
                <w:iCs/>
              </w:rPr>
            </w:pPr>
            <w:r>
              <w:rPr>
                <w:iCs/>
              </w:rPr>
              <w:t>NM_000041.</w:t>
            </w:r>
            <w:r>
              <w:rPr>
                <w:iCs/>
                <w:lang w:val="ru-RU"/>
              </w:rPr>
              <w:t>4:</w:t>
            </w:r>
            <w:r>
              <w:rPr>
                <w:iCs/>
              </w:rPr>
              <w:t>c.184_187del</w:t>
            </w:r>
          </w:p>
        </w:tc>
        <w:tc>
          <w:tcPr>
            <w:tcW w:w="314" w:type="pct"/>
            <w:vAlign w:val="center"/>
          </w:tcPr>
          <w:p w14:paraId="3E28119C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NP_000032.1</w:t>
            </w:r>
            <w:r>
              <w:rPr>
                <w:iCs/>
                <w:lang w:val="ru-RU"/>
              </w:rPr>
              <w:t>:</w:t>
            </w:r>
            <w:r>
              <w:rPr>
                <w:iCs/>
              </w:rPr>
              <w:t xml:space="preserve"> p.Glu63ArgfsTer15</w:t>
            </w:r>
          </w:p>
          <w:p w14:paraId="223862CB" w14:textId="77777777" w:rsidR="00FC282E" w:rsidRDefault="00FC282E">
            <w:pPr>
              <w:pStyle w:val="MDPI42tablebody"/>
              <w:rPr>
                <w:iCs/>
              </w:rPr>
            </w:pPr>
          </w:p>
        </w:tc>
        <w:tc>
          <w:tcPr>
            <w:tcW w:w="382" w:type="pct"/>
            <w:vAlign w:val="center"/>
          </w:tcPr>
          <w:p w14:paraId="6832C668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323" w:type="pct"/>
            <w:vAlign w:val="center"/>
          </w:tcPr>
          <w:p w14:paraId="7EF27A9D" w14:textId="77777777" w:rsidR="00FC282E" w:rsidRDefault="009443D4">
            <w:pPr>
              <w:pStyle w:val="MDPI42tablebody"/>
              <w:spacing w:line="240" w:lineRule="auto"/>
              <w:rPr>
                <w:iCs/>
                <w:lang w:val="ru-RU"/>
              </w:rPr>
            </w:pPr>
            <w:r>
              <w:rPr>
                <w:iCs/>
              </w:rPr>
              <w:t>PVS1</w:t>
            </w:r>
            <w:r>
              <w:rPr>
                <w:iCs/>
                <w:lang w:val="ru-RU"/>
              </w:rPr>
              <w:t xml:space="preserve">, </w:t>
            </w:r>
            <w:r>
              <w:rPr>
                <w:iCs/>
              </w:rPr>
              <w:t>PM2</w:t>
            </w:r>
            <w:r>
              <w:rPr>
                <w:iCs/>
                <w:lang w:val="ru-RU"/>
              </w:rPr>
              <w:t xml:space="preserve">, </w:t>
            </w:r>
            <w:r>
              <w:rPr>
                <w:iCs/>
              </w:rPr>
              <w:t>PP4</w:t>
            </w:r>
            <w:r>
              <w:rPr>
                <w:iCs/>
                <w:vertAlign w:val="superscript"/>
                <w:lang w:val="ru-RU"/>
              </w:rPr>
              <w:t>2</w:t>
            </w:r>
          </w:p>
        </w:tc>
        <w:tc>
          <w:tcPr>
            <w:tcW w:w="394" w:type="pct"/>
            <w:vAlign w:val="center"/>
          </w:tcPr>
          <w:p w14:paraId="3756DC63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pathogenic</w:t>
            </w:r>
          </w:p>
        </w:tc>
      </w:tr>
      <w:tr w:rsidR="00FC282E" w14:paraId="1A3F4A51" w14:textId="77777777" w:rsidTr="00E12820">
        <w:trPr>
          <w:trHeight w:val="710"/>
        </w:trPr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447A660C" w14:textId="77777777" w:rsidR="00FC282E" w:rsidRDefault="009443D4">
            <w:pPr>
              <w:spacing w:line="240" w:lineRule="atLeast"/>
              <w:ind w:hanging="2"/>
              <w:jc w:val="center"/>
              <w:rPr>
                <w:rFonts w:ascii="Palatino Linotype" w:hAnsi="Palatino Linotype"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26A9B433" w14:textId="77777777" w:rsidR="00FC282E" w:rsidRDefault="009443D4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  <w:r>
              <w:rPr>
                <w:rFonts w:ascii="Palatino Linotype" w:hAnsi="Palatino Linotype"/>
                <w:iCs/>
              </w:rPr>
              <w:t>-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vAlign w:val="center"/>
          </w:tcPr>
          <w:p w14:paraId="5772DA33" w14:textId="77777777" w:rsidR="00FC282E" w:rsidRDefault="00FC282E">
            <w:pPr>
              <w:pStyle w:val="11"/>
              <w:jc w:val="center"/>
              <w:rPr>
                <w:rFonts w:ascii="Palatino Linotype" w:eastAsia="Times New Roman" w:hAnsi="Palatino Linotype" w:cs="Times New Roman"/>
                <w:iCs/>
                <w:color w:val="000000"/>
              </w:rPr>
            </w:pPr>
          </w:p>
          <w:p w14:paraId="6040F155" w14:textId="6B1A8D31" w:rsidR="00FC282E" w:rsidRDefault="009443D4" w:rsidP="009C08FF">
            <w:pPr>
              <w:pStyle w:val="11"/>
              <w:rPr>
                <w:iCs/>
              </w:rPr>
            </w:pPr>
            <w:r>
              <w:rPr>
                <w:rFonts w:ascii="Palatino Linotype" w:eastAsia="Times New Roman" w:hAnsi="Palatino Linotype" w:cs="Times New Roman"/>
                <w:iCs/>
                <w:color w:val="000000"/>
              </w:rPr>
              <w:t>chr19:</w:t>
            </w:r>
            <w:r>
              <w:rPr>
                <w:rFonts w:ascii="Palatino Linotype" w:eastAsia="Times New Roman" w:hAnsi="Palatino Linotype"/>
                <w:iCs/>
                <w:color w:val="000000"/>
              </w:rPr>
              <w:t>45411985-45412012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6773C38" w14:textId="67E839B4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CGGCCAGAGCACCGAGGAGCTGCGGGTG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28F7B297" w14:textId="68F636E5" w:rsidR="00FC282E" w:rsidRDefault="009443D4">
            <w:pPr>
              <w:pStyle w:val="MDPI42tablebody"/>
              <w:spacing w:line="240" w:lineRule="auto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-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14:paraId="418B2080" w14:textId="77777777" w:rsidR="00FC282E" w:rsidRDefault="009443D4">
            <w:pPr>
              <w:pStyle w:val="MDPI42tablebody"/>
              <w:spacing w:line="240" w:lineRule="auto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deletion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vAlign w:val="center"/>
          </w:tcPr>
          <w:p w14:paraId="116A9995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frameshift_variant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vAlign w:val="center"/>
          </w:tcPr>
          <w:p w14:paraId="41929CC1" w14:textId="7F39FED2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NM_000041.</w:t>
            </w:r>
            <w:r>
              <w:rPr>
                <w:iCs/>
                <w:lang w:val="ru-RU"/>
              </w:rPr>
              <w:t>4:</w:t>
            </w:r>
            <w:r>
              <w:rPr>
                <w:iCs/>
              </w:rPr>
              <w:t xml:space="preserve"> c.43</w:t>
            </w:r>
            <w:r>
              <w:rPr>
                <w:iCs/>
                <w:lang w:val="ru-RU"/>
              </w:rPr>
              <w:t>2</w:t>
            </w:r>
            <w:r>
              <w:rPr>
                <w:iCs/>
              </w:rPr>
              <w:t>_4</w:t>
            </w:r>
            <w:r>
              <w:rPr>
                <w:iCs/>
                <w:lang w:val="ru-RU"/>
              </w:rPr>
              <w:t>59</w:t>
            </w:r>
            <w:r>
              <w:rPr>
                <w:iCs/>
              </w:rPr>
              <w:t>del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309477B9" w14:textId="77777777" w:rsidR="00FC282E" w:rsidRDefault="009443D4">
            <w:pPr>
              <w:pStyle w:val="MDPI42tablebody"/>
              <w:rPr>
                <w:iCs/>
                <w:lang w:val="ru-RU"/>
              </w:rPr>
            </w:pPr>
            <w:r>
              <w:rPr>
                <w:iCs/>
              </w:rPr>
              <w:t>NP_000032.1</w:t>
            </w:r>
            <w:r>
              <w:rPr>
                <w:iCs/>
                <w:lang w:val="ru-RU"/>
              </w:rPr>
              <w:t>:</w:t>
            </w:r>
            <w:r>
              <w:rPr>
                <w:iCs/>
              </w:rPr>
              <w:t xml:space="preserve"> p.Gly145AlafsTer97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14:paraId="4AC1C55B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6BD0309" w14:textId="77777777" w:rsidR="00FC282E" w:rsidRDefault="009443D4">
            <w:pPr>
              <w:pStyle w:val="MDPI42tablebody"/>
              <w:spacing w:line="240" w:lineRule="auto"/>
              <w:rPr>
                <w:iCs/>
                <w:lang w:val="ru-RU"/>
              </w:rPr>
            </w:pPr>
            <w:r>
              <w:rPr>
                <w:iCs/>
              </w:rPr>
              <w:t>PVS1</w:t>
            </w:r>
            <w:r>
              <w:rPr>
                <w:iCs/>
                <w:lang w:val="ru-RU"/>
              </w:rPr>
              <w:t xml:space="preserve">, </w:t>
            </w:r>
            <w:r>
              <w:rPr>
                <w:iCs/>
              </w:rPr>
              <w:t>PM2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vAlign w:val="center"/>
          </w:tcPr>
          <w:p w14:paraId="1C2A34FB" w14:textId="77777777" w:rsidR="00FC282E" w:rsidRDefault="009443D4">
            <w:pPr>
              <w:pStyle w:val="MDPI42tablebody"/>
              <w:spacing w:line="240" w:lineRule="auto"/>
              <w:rPr>
                <w:iCs/>
              </w:rPr>
            </w:pPr>
            <w:r>
              <w:rPr>
                <w:iCs/>
              </w:rPr>
              <w:t>likely pathogenic</w:t>
            </w:r>
          </w:p>
        </w:tc>
      </w:tr>
    </w:tbl>
    <w:p w14:paraId="0912C3B2" w14:textId="2BEB4256" w:rsidR="00FC282E" w:rsidRDefault="009443D4">
      <w:pPr>
        <w:pStyle w:val="MDPI42tablebody"/>
        <w:jc w:val="left"/>
      </w:pPr>
      <w:r>
        <w:rPr>
          <w:b/>
          <w:bCs/>
          <w:color w:val="000000" w:themeColor="text1"/>
          <w:sz w:val="18"/>
          <w:szCs w:val="18"/>
          <w:shd w:val="clear" w:color="auto" w:fill="FFFFFF"/>
        </w:rPr>
        <w:t>Supplementary Table S</w:t>
      </w:r>
      <w:r w:rsidR="00BF29B3">
        <w:rPr>
          <w:b/>
          <w:bCs/>
          <w:color w:val="000000" w:themeColor="text1"/>
          <w:sz w:val="18"/>
          <w:szCs w:val="18"/>
          <w:shd w:val="clear" w:color="auto" w:fill="FFFFFF"/>
        </w:rPr>
        <w:t>2</w:t>
      </w:r>
      <w:r>
        <w:t xml:space="preserve">. The clinical interpretation of the detected </w:t>
      </w:r>
      <w:r>
        <w:rPr>
          <w:i/>
          <w:iCs/>
        </w:rPr>
        <w:t>APOE</w:t>
      </w:r>
      <w:r>
        <w:t xml:space="preserve"> variants, associated with the autosomal dominant FD.</w:t>
      </w:r>
    </w:p>
    <w:p w14:paraId="2FEA34F8" w14:textId="77777777" w:rsidR="00FC282E" w:rsidRDefault="00FC282E">
      <w:pPr>
        <w:pStyle w:val="MDPI42tablebody"/>
        <w:jc w:val="left"/>
        <w:rPr>
          <w:color w:val="000000" w:themeColor="text1"/>
          <w:sz w:val="18"/>
          <w:szCs w:val="18"/>
        </w:rPr>
      </w:pPr>
    </w:p>
    <w:p w14:paraId="46FED580" w14:textId="77777777" w:rsidR="00FC282E" w:rsidRDefault="009443D4">
      <w:pPr>
        <w:pStyle w:val="MDPI42tablebody"/>
        <w:jc w:val="both"/>
        <w:rPr>
          <w:snapToGrid/>
          <w:sz w:val="18"/>
          <w:szCs w:val="18"/>
        </w:rPr>
      </w:pPr>
      <w:r>
        <w:rPr>
          <w:bCs/>
          <w:sz w:val="18"/>
          <w:szCs w:val="18"/>
          <w:vertAlign w:val="superscript"/>
        </w:rPr>
        <w:t>1</w:t>
      </w:r>
      <w:r>
        <w:rPr>
          <w:snapToGrid/>
          <w:sz w:val="18"/>
          <w:szCs w:val="18"/>
        </w:rPr>
        <w:t>—3 subjects in present study had a clinical data (1 – male, 48 years old, TG level 3.27 mmol/L, glucose 6.72 mmol/L, BMI 28.82</w:t>
      </w:r>
      <w:r>
        <w:rPr>
          <w:sz w:val="18"/>
          <w:szCs w:val="18"/>
        </w:rPr>
        <w:t xml:space="preserve"> kg/m2</w:t>
      </w:r>
      <w:r>
        <w:rPr>
          <w:snapToGrid/>
          <w:sz w:val="18"/>
          <w:szCs w:val="18"/>
        </w:rPr>
        <w:t>, carotid atherosclerosis (number of plaques 3 and maximum stenosis 54.0%), femoral atherosclerosis (number of plaques 3 and maximum stenosis 27.0%), coronary heart disease – no, diabetes mellitus – not known;</w:t>
      </w:r>
    </w:p>
    <w:p w14:paraId="39516D50" w14:textId="1F2B46F7" w:rsidR="00FC282E" w:rsidRDefault="009443D4">
      <w:pPr>
        <w:pStyle w:val="MDPI42tablebody"/>
        <w:jc w:val="both"/>
        <w:rPr>
          <w:snapToGrid/>
          <w:sz w:val="18"/>
          <w:szCs w:val="18"/>
        </w:rPr>
      </w:pPr>
      <w:r>
        <w:rPr>
          <w:snapToGrid/>
          <w:sz w:val="18"/>
          <w:szCs w:val="18"/>
        </w:rPr>
        <w:t>2 – woman, 51 years old, TG level 1.70 mmol/L, BMI 39.85</w:t>
      </w:r>
      <w:r>
        <w:rPr>
          <w:sz w:val="18"/>
          <w:szCs w:val="18"/>
        </w:rPr>
        <w:t xml:space="preserve"> kg/m2</w:t>
      </w:r>
      <w:r>
        <w:rPr>
          <w:snapToGrid/>
          <w:sz w:val="18"/>
          <w:szCs w:val="18"/>
        </w:rPr>
        <w:t>, carotid and femoral atherosclerosis, coronary heart disease – no; 3 – woman, 53 years old, TG level 1.43 mmol/L, BMI 28.88</w:t>
      </w:r>
      <w:r>
        <w:rPr>
          <w:sz w:val="18"/>
          <w:szCs w:val="18"/>
        </w:rPr>
        <w:t xml:space="preserve"> kg/m2</w:t>
      </w:r>
      <w:r>
        <w:rPr>
          <w:snapToGrid/>
          <w:sz w:val="18"/>
          <w:szCs w:val="18"/>
        </w:rPr>
        <w:t xml:space="preserve">, carotid and femoral atherosclerosis, coronary heart disease – no. </w:t>
      </w:r>
      <w:r>
        <w:rPr>
          <w:bCs/>
          <w:sz w:val="18"/>
          <w:szCs w:val="18"/>
          <w:vertAlign w:val="superscript"/>
        </w:rPr>
        <w:t>2</w:t>
      </w:r>
      <w:r>
        <w:rPr>
          <w:snapToGrid/>
          <w:sz w:val="18"/>
          <w:szCs w:val="18"/>
        </w:rPr>
        <w:t>—data of the present study (woman, 57 years old, TG level 4.75 mmol/L, Achilles tendon xanthomas).</w:t>
      </w:r>
      <w:r>
        <w:rPr>
          <w:bCs/>
          <w:sz w:val="18"/>
          <w:szCs w:val="18"/>
        </w:rPr>
        <w:t xml:space="preserve"> AF</w:t>
      </w:r>
      <w:r>
        <w:rPr>
          <w:snapToGrid/>
          <w:sz w:val="18"/>
          <w:szCs w:val="18"/>
        </w:rPr>
        <w:t>— allele frequency</w:t>
      </w:r>
      <w:r>
        <w:rPr>
          <w:bCs/>
          <w:sz w:val="18"/>
          <w:szCs w:val="18"/>
        </w:rPr>
        <w:t>; ACMG/AMP2015</w:t>
      </w:r>
      <w:r>
        <w:rPr>
          <w:snapToGrid/>
          <w:sz w:val="18"/>
          <w:szCs w:val="18"/>
        </w:rPr>
        <w:t>— the American College of Medical Genetics and Genomics/Association for Molecular Pathology; gnomAD—</w:t>
      </w:r>
      <w:r>
        <w:rPr>
          <w:sz w:val="18"/>
          <w:szCs w:val="18"/>
        </w:rPr>
        <w:t xml:space="preserve"> Genome Aggregation Database; </w:t>
      </w:r>
      <w:r>
        <w:rPr>
          <w:snapToGrid/>
          <w:sz w:val="18"/>
          <w:szCs w:val="18"/>
        </w:rPr>
        <w:t xml:space="preserve">HGVSc —Human Genome Variation Society coding sequence name; HGVSp — Human Genome Variation Society protein sequence name; </w:t>
      </w:r>
      <w:r>
        <w:rPr>
          <w:sz w:val="18"/>
          <w:szCs w:val="18"/>
        </w:rPr>
        <w:t xml:space="preserve">SNV – </w:t>
      </w:r>
      <w:r>
        <w:rPr>
          <w:snapToGrid/>
          <w:sz w:val="18"/>
          <w:szCs w:val="18"/>
        </w:rPr>
        <w:t>single nucleotide variant.</w:t>
      </w:r>
    </w:p>
    <w:p w14:paraId="03DB596D" w14:textId="77777777" w:rsidR="00FC282E" w:rsidRDefault="00FC282E">
      <w:pPr>
        <w:pStyle w:val="MDPI42tablebody"/>
        <w:jc w:val="both"/>
        <w:rPr>
          <w:snapToGrid/>
          <w:sz w:val="18"/>
          <w:szCs w:val="18"/>
        </w:rPr>
      </w:pPr>
    </w:p>
    <w:p w14:paraId="11026964" w14:textId="77777777" w:rsidR="00FC282E" w:rsidRDefault="009443D4">
      <w:pPr>
        <w:pStyle w:val="MDPI21heading1"/>
        <w:ind w:left="0"/>
      </w:pPr>
      <w:r>
        <w:t>References</w:t>
      </w:r>
    </w:p>
    <w:p w14:paraId="2491DD0C" w14:textId="77777777" w:rsidR="00FC282E" w:rsidRDefault="009443D4">
      <w:pPr>
        <w:pStyle w:val="MDPI71References0"/>
        <w:numPr>
          <w:ilvl w:val="0"/>
          <w:numId w:val="1"/>
        </w:numPr>
        <w:tabs>
          <w:tab w:val="clear" w:pos="0"/>
        </w:tabs>
        <w:suppressAutoHyphens w:val="0"/>
        <w:adjustRightInd w:val="0"/>
        <w:ind w:left="425" w:hanging="425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>Feussner, G.; Albanese, M.; Mann, W.A.; Valencia, A.; Schuster, H. Apolipoprotein E2 (Arg‐136</w:t>
      </w:r>
      <w:r>
        <w:rPr>
          <w:rFonts w:ascii="Times New Roman" w:hAnsi="Times New Roman" w:cs="Times New Roman"/>
          <w:szCs w:val="20"/>
          <w:lang w:val="en-US"/>
        </w:rPr>
        <w:t>→</w:t>
      </w:r>
      <w:r>
        <w:rPr>
          <w:rFonts w:cs="Times New Roman"/>
          <w:szCs w:val="20"/>
          <w:lang w:val="en-US"/>
        </w:rPr>
        <w:t xml:space="preserve"> Cys), a variant of apolipoprotein E associated with late</w:t>
      </w:r>
      <w:r>
        <w:rPr>
          <w:rFonts w:cs="Palatino Linotype"/>
          <w:szCs w:val="20"/>
          <w:lang w:val="en-US"/>
        </w:rPr>
        <w:t>‐</w:t>
      </w:r>
      <w:r>
        <w:rPr>
          <w:rFonts w:cs="Times New Roman"/>
          <w:szCs w:val="20"/>
          <w:lang w:val="en-US"/>
        </w:rPr>
        <w:t>onset dominance of type III hyperlipoproteinaemia. </w:t>
      </w:r>
      <w:r>
        <w:rPr>
          <w:rFonts w:cs="Times New Roman"/>
          <w:i/>
          <w:iCs/>
          <w:szCs w:val="20"/>
          <w:lang w:val="en-US"/>
        </w:rPr>
        <w:t xml:space="preserve">Eur. J. Clin. Invest. </w:t>
      </w:r>
      <w:r>
        <w:rPr>
          <w:rFonts w:cs="Times New Roman"/>
          <w:b/>
          <w:bCs/>
          <w:szCs w:val="20"/>
          <w:lang w:val="en-US"/>
        </w:rPr>
        <w:t>1996</w:t>
      </w:r>
      <w:r>
        <w:rPr>
          <w:rFonts w:cs="Times New Roman"/>
          <w:szCs w:val="20"/>
          <w:lang w:val="en-US"/>
        </w:rPr>
        <w:t>, 26, 13–23. doi:10.1046/j.1365-2362.1996.83232.x.</w:t>
      </w:r>
    </w:p>
    <w:p w14:paraId="0AD9E649" w14:textId="77777777" w:rsidR="00FC282E" w:rsidRDefault="009443D4">
      <w:pPr>
        <w:pStyle w:val="MDPI71References0"/>
        <w:numPr>
          <w:ilvl w:val="0"/>
          <w:numId w:val="1"/>
        </w:numPr>
        <w:tabs>
          <w:tab w:val="clear" w:pos="0"/>
        </w:tabs>
        <w:suppressAutoHyphens w:val="0"/>
        <w:adjustRightInd w:val="0"/>
        <w:ind w:left="425" w:hanging="425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 xml:space="preserve">van den Maagdenberg, A.M.; Weng, W.; de Bruijn, I.H.; de Knijff, P.; Funke, H.; Smelt, A.H.; Gevers Leuven, J.A.; van't Hooft, F.M.; Assmann, G.; Hofker, M.H.; et al. Characterization of five new mutants in the carboxyl-terminal domain of human apolipoprotein E: no cosegregation with severe hyperlipidemia. </w:t>
      </w:r>
      <w:r>
        <w:rPr>
          <w:rFonts w:cs="Times New Roman"/>
          <w:i/>
          <w:iCs/>
          <w:szCs w:val="20"/>
          <w:lang w:val="en-US"/>
        </w:rPr>
        <w:t>Am. J. Hum. Genet.</w:t>
      </w:r>
      <w:r>
        <w:rPr>
          <w:rFonts w:cs="Times New Roman"/>
          <w:szCs w:val="20"/>
          <w:lang w:val="en-US"/>
        </w:rPr>
        <w:t xml:space="preserve"> </w:t>
      </w:r>
      <w:r>
        <w:rPr>
          <w:rFonts w:cs="Times New Roman"/>
          <w:b/>
          <w:bCs/>
          <w:szCs w:val="20"/>
          <w:lang w:val="en-US"/>
        </w:rPr>
        <w:t>1993</w:t>
      </w:r>
      <w:r>
        <w:rPr>
          <w:rFonts w:cs="Times New Roman"/>
          <w:szCs w:val="20"/>
          <w:lang w:val="en-US"/>
        </w:rPr>
        <w:t>, 52, 937-46.</w:t>
      </w:r>
    </w:p>
    <w:p w14:paraId="64643896" w14:textId="77777777" w:rsidR="00FC282E" w:rsidRDefault="00FC282E">
      <w:pPr>
        <w:pStyle w:val="MDPI42tablebody"/>
        <w:jc w:val="left"/>
        <w:rPr>
          <w:iCs/>
        </w:rPr>
      </w:pPr>
    </w:p>
    <w:p w14:paraId="73DBC9ED" w14:textId="77777777" w:rsidR="00FC282E" w:rsidRDefault="00FC282E">
      <w:pPr>
        <w:rPr>
          <w:lang w:val="en-US"/>
        </w:rPr>
      </w:pPr>
    </w:p>
    <w:sectPr w:rsidR="00FC28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C1FD" w14:textId="77777777" w:rsidR="00FC282E" w:rsidRDefault="009443D4">
      <w:r>
        <w:separator/>
      </w:r>
    </w:p>
  </w:endnote>
  <w:endnote w:type="continuationSeparator" w:id="0">
    <w:p w14:paraId="3C35D270" w14:textId="77777777" w:rsidR="00FC282E" w:rsidRDefault="0094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F0125" w14:textId="77777777" w:rsidR="00FC282E" w:rsidRDefault="009443D4">
      <w:pPr>
        <w:spacing w:before="0" w:after="0"/>
      </w:pPr>
      <w:r>
        <w:separator/>
      </w:r>
    </w:p>
  </w:footnote>
  <w:footnote w:type="continuationSeparator" w:id="0">
    <w:p w14:paraId="67ABCDD1" w14:textId="77777777" w:rsidR="00FC282E" w:rsidRDefault="009443D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F88"/>
    <w:multiLevelType w:val="multilevel"/>
    <w:tmpl w:val="07E80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6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CC5"/>
    <w:rsid w:val="00000F9F"/>
    <w:rsid w:val="00001928"/>
    <w:rsid w:val="00006CF1"/>
    <w:rsid w:val="00026100"/>
    <w:rsid w:val="00030EF5"/>
    <w:rsid w:val="00044933"/>
    <w:rsid w:val="00060853"/>
    <w:rsid w:val="000A2B1E"/>
    <w:rsid w:val="00100868"/>
    <w:rsid w:val="00110AE1"/>
    <w:rsid w:val="00126F21"/>
    <w:rsid w:val="001302EE"/>
    <w:rsid w:val="00133C3F"/>
    <w:rsid w:val="001352A9"/>
    <w:rsid w:val="00142411"/>
    <w:rsid w:val="00152171"/>
    <w:rsid w:val="00164A7C"/>
    <w:rsid w:val="00167BFD"/>
    <w:rsid w:val="001877C6"/>
    <w:rsid w:val="001901EE"/>
    <w:rsid w:val="00194F5C"/>
    <w:rsid w:val="00195D0D"/>
    <w:rsid w:val="001A2AA9"/>
    <w:rsid w:val="001B5C77"/>
    <w:rsid w:val="001C0684"/>
    <w:rsid w:val="001C3911"/>
    <w:rsid w:val="001E2ECB"/>
    <w:rsid w:val="001E5A5A"/>
    <w:rsid w:val="001E7B23"/>
    <w:rsid w:val="001F34B6"/>
    <w:rsid w:val="00203B28"/>
    <w:rsid w:val="00204DD5"/>
    <w:rsid w:val="0025116D"/>
    <w:rsid w:val="00257CDF"/>
    <w:rsid w:val="00273943"/>
    <w:rsid w:val="00274A88"/>
    <w:rsid w:val="002B0A59"/>
    <w:rsid w:val="002B57FA"/>
    <w:rsid w:val="002B786D"/>
    <w:rsid w:val="00300127"/>
    <w:rsid w:val="00336705"/>
    <w:rsid w:val="0036290D"/>
    <w:rsid w:val="003666F1"/>
    <w:rsid w:val="00373339"/>
    <w:rsid w:val="003A0089"/>
    <w:rsid w:val="003D676C"/>
    <w:rsid w:val="003F1970"/>
    <w:rsid w:val="003F2CDA"/>
    <w:rsid w:val="00401C44"/>
    <w:rsid w:val="0041093F"/>
    <w:rsid w:val="00432717"/>
    <w:rsid w:val="00435CC5"/>
    <w:rsid w:val="0044725C"/>
    <w:rsid w:val="004566F3"/>
    <w:rsid w:val="004719D9"/>
    <w:rsid w:val="004B39CE"/>
    <w:rsid w:val="004E2E78"/>
    <w:rsid w:val="004E47D5"/>
    <w:rsid w:val="00502929"/>
    <w:rsid w:val="0050458B"/>
    <w:rsid w:val="00505EF0"/>
    <w:rsid w:val="00524F2C"/>
    <w:rsid w:val="00542577"/>
    <w:rsid w:val="00566383"/>
    <w:rsid w:val="00566A73"/>
    <w:rsid w:val="005C3674"/>
    <w:rsid w:val="005F4B28"/>
    <w:rsid w:val="006227A3"/>
    <w:rsid w:val="00683CBD"/>
    <w:rsid w:val="006A2CA3"/>
    <w:rsid w:val="006E4447"/>
    <w:rsid w:val="006E6DE1"/>
    <w:rsid w:val="006F142D"/>
    <w:rsid w:val="00703123"/>
    <w:rsid w:val="00747B28"/>
    <w:rsid w:val="00793005"/>
    <w:rsid w:val="007A3BC7"/>
    <w:rsid w:val="007A3EA2"/>
    <w:rsid w:val="007A4DC3"/>
    <w:rsid w:val="00811D3A"/>
    <w:rsid w:val="00845BB3"/>
    <w:rsid w:val="00854AFD"/>
    <w:rsid w:val="00866CFE"/>
    <w:rsid w:val="00874BC2"/>
    <w:rsid w:val="0088232C"/>
    <w:rsid w:val="008907B0"/>
    <w:rsid w:val="008927A8"/>
    <w:rsid w:val="008A3DB2"/>
    <w:rsid w:val="008A4B3A"/>
    <w:rsid w:val="008C1399"/>
    <w:rsid w:val="008C384B"/>
    <w:rsid w:val="008D2DC3"/>
    <w:rsid w:val="008D6406"/>
    <w:rsid w:val="008F2CBE"/>
    <w:rsid w:val="009049D4"/>
    <w:rsid w:val="009073B5"/>
    <w:rsid w:val="009443D4"/>
    <w:rsid w:val="00954921"/>
    <w:rsid w:val="0096069E"/>
    <w:rsid w:val="00970796"/>
    <w:rsid w:val="00971DF4"/>
    <w:rsid w:val="0099765C"/>
    <w:rsid w:val="009A7B4A"/>
    <w:rsid w:val="009C08FF"/>
    <w:rsid w:val="009C2E09"/>
    <w:rsid w:val="009D225B"/>
    <w:rsid w:val="00A072CD"/>
    <w:rsid w:val="00A31FFD"/>
    <w:rsid w:val="00A563C3"/>
    <w:rsid w:val="00A64A63"/>
    <w:rsid w:val="00A71F99"/>
    <w:rsid w:val="00A821A2"/>
    <w:rsid w:val="00AF6710"/>
    <w:rsid w:val="00B0297B"/>
    <w:rsid w:val="00B126E0"/>
    <w:rsid w:val="00B20352"/>
    <w:rsid w:val="00B604A1"/>
    <w:rsid w:val="00B76393"/>
    <w:rsid w:val="00B779CD"/>
    <w:rsid w:val="00B872DF"/>
    <w:rsid w:val="00B93172"/>
    <w:rsid w:val="00BC22BF"/>
    <w:rsid w:val="00BC3B07"/>
    <w:rsid w:val="00BF29B3"/>
    <w:rsid w:val="00BF470F"/>
    <w:rsid w:val="00C12B3C"/>
    <w:rsid w:val="00C205A3"/>
    <w:rsid w:val="00C63183"/>
    <w:rsid w:val="00C7392E"/>
    <w:rsid w:val="00C84521"/>
    <w:rsid w:val="00CA4447"/>
    <w:rsid w:val="00CC4AD3"/>
    <w:rsid w:val="00D2202D"/>
    <w:rsid w:val="00D31BFB"/>
    <w:rsid w:val="00D37F55"/>
    <w:rsid w:val="00D65135"/>
    <w:rsid w:val="00D66155"/>
    <w:rsid w:val="00D70459"/>
    <w:rsid w:val="00D73CCF"/>
    <w:rsid w:val="00D77C12"/>
    <w:rsid w:val="00D80ABC"/>
    <w:rsid w:val="00D93934"/>
    <w:rsid w:val="00DA058E"/>
    <w:rsid w:val="00DA3401"/>
    <w:rsid w:val="00DC15D0"/>
    <w:rsid w:val="00DC259B"/>
    <w:rsid w:val="00DE6FA7"/>
    <w:rsid w:val="00DF5D21"/>
    <w:rsid w:val="00E12820"/>
    <w:rsid w:val="00E27BD5"/>
    <w:rsid w:val="00E429D3"/>
    <w:rsid w:val="00E53DDA"/>
    <w:rsid w:val="00E64BCD"/>
    <w:rsid w:val="00E81C58"/>
    <w:rsid w:val="00E85D0D"/>
    <w:rsid w:val="00E93ABF"/>
    <w:rsid w:val="00EA5061"/>
    <w:rsid w:val="00EB0557"/>
    <w:rsid w:val="00ED1860"/>
    <w:rsid w:val="00ED1BF5"/>
    <w:rsid w:val="00EE381A"/>
    <w:rsid w:val="00F069EA"/>
    <w:rsid w:val="00F56310"/>
    <w:rsid w:val="00F81D9F"/>
    <w:rsid w:val="00F85170"/>
    <w:rsid w:val="00F941B2"/>
    <w:rsid w:val="00F96885"/>
    <w:rsid w:val="00FC282E"/>
    <w:rsid w:val="00FC6B28"/>
    <w:rsid w:val="230D5EC1"/>
    <w:rsid w:val="3F4C2F1D"/>
    <w:rsid w:val="75F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5AFA"/>
  <w15:docId w15:val="{51ADF545-399F-4BB4-9006-1A0CB10B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240" w:after="240"/>
    </w:pPr>
    <w:rPr>
      <w:rFonts w:ascii="Times New Roman" w:hAnsi="Times New Roman"/>
      <w:sz w:val="22"/>
      <w:szCs w:val="22"/>
      <w:lang w:val="nl-NL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after="120" w:line="480" w:lineRule="auto"/>
      <w:outlineLvl w:val="0"/>
    </w:pPr>
    <w:rPr>
      <w:rFonts w:ascii="Palatino Linotype" w:eastAsiaTheme="majorEastAsia" w:hAnsi="Palatino Linotype" w:cstheme="majorBidi"/>
      <w:b/>
      <w:sz w:val="18"/>
      <w:szCs w:val="18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after="120"/>
      <w:outlineLvl w:val="1"/>
    </w:pPr>
    <w:rPr>
      <w:rFonts w:ascii="Arial" w:eastAsia="Times New Roman" w:hAnsi="Arial" w:cs="Arial"/>
      <w:b/>
      <w:bCs/>
      <w:iCs/>
      <w:sz w:val="20"/>
      <w:szCs w:val="28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 w:line="480" w:lineRule="auto"/>
      <w:outlineLvl w:val="2"/>
    </w:pPr>
    <w:rPr>
      <w:rFonts w:ascii="Arial" w:eastAsiaTheme="majorEastAsia" w:hAnsi="Arial" w:cstheme="majorBidi"/>
      <w:i/>
      <w:sz w:val="20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 w:line="276" w:lineRule="auto"/>
      <w:outlineLvl w:val="3"/>
    </w:pPr>
    <w:rPr>
      <w:rFonts w:ascii="Arial" w:eastAsia="Times New Roman" w:hAnsi="Arial" w:cs="Times New Roman"/>
      <w:bCs/>
      <w:iCs/>
      <w:sz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6">
    <w:name w:val="line number"/>
    <w:basedOn w:val="a0"/>
    <w:uiPriority w:val="99"/>
    <w:semiHidden/>
    <w:unhideWhenUsed/>
    <w:qFormat/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59"/>
    <w:qFormat/>
    <w:rPr>
      <w:rFonts w:ascii="Segoe UI" w:hAnsi="Segoe U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Pr>
      <w:sz w:val="22"/>
      <w:szCs w:val="22"/>
      <w:lang w:val="nl-NL" w:eastAsia="en-US"/>
    </w:rPr>
  </w:style>
  <w:style w:type="character" w:customStyle="1" w:styleId="20">
    <w:name w:val="Заголовок 2 Знак"/>
    <w:basedOn w:val="a0"/>
    <w:link w:val="2"/>
    <w:qFormat/>
    <w:rPr>
      <w:rFonts w:ascii="Arial" w:eastAsia="Times New Roman" w:hAnsi="Arial" w:cs="Arial"/>
      <w:b/>
      <w:bCs/>
      <w:iCs/>
      <w:sz w:val="20"/>
      <w:szCs w:val="28"/>
    </w:rPr>
  </w:style>
  <w:style w:type="character" w:customStyle="1" w:styleId="30">
    <w:name w:val="Заголовок 3 Знак"/>
    <w:basedOn w:val="a0"/>
    <w:link w:val="3"/>
    <w:qFormat/>
    <w:rPr>
      <w:rFonts w:ascii="Arial" w:eastAsiaTheme="majorEastAsia" w:hAnsi="Arial" w:cstheme="majorBidi"/>
      <w:i/>
      <w:sz w:val="20"/>
      <w:szCs w:val="24"/>
    </w:rPr>
  </w:style>
  <w:style w:type="character" w:customStyle="1" w:styleId="40">
    <w:name w:val="Заголовок 4 Знак"/>
    <w:link w:val="4"/>
    <w:uiPriority w:val="9"/>
    <w:qFormat/>
    <w:rPr>
      <w:rFonts w:ascii="Arial" w:eastAsia="Times New Roman" w:hAnsi="Arial" w:cs="Times New Roman"/>
      <w:bCs/>
      <w:iCs/>
      <w:sz w:val="20"/>
      <w:u w:val="single"/>
      <w:lang w:val="en-US"/>
    </w:rPr>
  </w:style>
  <w:style w:type="character" w:customStyle="1" w:styleId="10">
    <w:name w:val="Заголовок 1 Знак"/>
    <w:basedOn w:val="a0"/>
    <w:link w:val="1"/>
    <w:qFormat/>
    <w:rPr>
      <w:rFonts w:ascii="Palatino Linotype" w:eastAsiaTheme="majorEastAsia" w:hAnsi="Palatino Linotype" w:cstheme="majorBidi"/>
      <w:b/>
      <w:sz w:val="18"/>
      <w:szCs w:val="18"/>
      <w:lang w:val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val="en-US" w:eastAsia="de-DE" w:bidi="en-US"/>
    </w:rPr>
  </w:style>
  <w:style w:type="paragraph" w:customStyle="1" w:styleId="11">
    <w:name w:val="Обычный1"/>
    <w:qFormat/>
    <w:rPr>
      <w:rFonts w:ascii="Calibri" w:eastAsia="Calibri" w:hAnsi="Calibri" w:cs="Calibri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hAnsi="Times New Roman"/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ascii="Times New Roman" w:hAnsi="Times New Roman"/>
      <w:b/>
      <w:bCs/>
      <w:sz w:val="20"/>
      <w:szCs w:val="20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Cs w:val="22"/>
      <w:lang w:val="en-US" w:eastAsia="de-DE" w:bidi="en-US"/>
    </w:rPr>
  </w:style>
  <w:style w:type="character" w:customStyle="1" w:styleId="MDPI71References">
    <w:name w:val="MDPI_7.1_References Знак"/>
    <w:link w:val="MDPI71References0"/>
    <w:qFormat/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71References0">
    <w:name w:val="MDPI_7.1_References"/>
    <w:link w:val="MDPI71References"/>
    <w:qFormat/>
    <w:pPr>
      <w:tabs>
        <w:tab w:val="left" w:pos="0"/>
      </w:tabs>
      <w:suppressAutoHyphens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szCs w:val="22"/>
      <w:lang w:val="nl-NL" w:eastAsia="de-DE" w:bidi="en-US"/>
    </w:rPr>
  </w:style>
  <w:style w:type="paragraph" w:styleId="ae">
    <w:name w:val="Revision"/>
    <w:hidden/>
    <w:uiPriority w:val="99"/>
    <w:semiHidden/>
    <w:rsid w:val="00E12820"/>
    <w:rPr>
      <w:rFonts w:ascii="Times New Roman" w:hAnsi="Times New Roman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7133-89A7-416A-B317-A256200746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457</Words>
  <Characters>2606</Characters>
  <Application>Microsoft Office Word</Application>
  <DocSecurity>0</DocSecurity>
  <Lines>21</Lines>
  <Paragraphs>6</Paragraphs>
  <ScaleCrop>false</ScaleCrop>
  <Company>UMC Utrecht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Heidemann</dc:creator>
  <cp:lastModifiedBy>na Ana</cp:lastModifiedBy>
  <cp:revision>21</cp:revision>
  <dcterms:created xsi:type="dcterms:W3CDTF">2023-05-16T09:29:00Z</dcterms:created>
  <dcterms:modified xsi:type="dcterms:W3CDTF">2023-05-29T16:17:00Z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AF6520CC3E734583A6827AE42437CAFE</vt:lpwstr>
  </property>
</Properties>
</file>